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3432"/>
        <w:gridCol w:w="6492"/>
      </w:tblGrid>
      <w:tr w:rsidR="006F6326" w:rsidTr="00052DAA">
        <w:tc>
          <w:tcPr>
            <w:tcW w:w="343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492" w:type="dxa"/>
          </w:tcPr>
          <w:p w:rsidR="0082442D" w:rsidRPr="0082442D" w:rsidRDefault="004D0E18" w:rsidP="0082442D">
            <w:pPr>
              <w:rPr>
                <w:rFonts w:ascii="Arial" w:hAnsi="Arial" w:cs="Arial"/>
              </w:rPr>
            </w:pPr>
            <w:r>
              <w:rPr>
                <w:rFonts w:ascii="Arial" w:hAnsi="Arial" w:cs="Arial"/>
              </w:rPr>
              <w:t>South Oxford Science Village</w:t>
            </w:r>
            <w:r w:rsidR="0082442D" w:rsidRPr="0082442D">
              <w:rPr>
                <w:rFonts w:ascii="Arial" w:hAnsi="Arial" w:cs="Arial"/>
              </w:rPr>
              <w:t>:</w:t>
            </w:r>
          </w:p>
          <w:p w:rsidR="00B87695" w:rsidRPr="00A96C08" w:rsidRDefault="0082442D" w:rsidP="0082442D">
            <w:pPr>
              <w:rPr>
                <w:rFonts w:ascii="Arial" w:hAnsi="Arial" w:cs="Arial"/>
              </w:rPr>
            </w:pPr>
            <w:r w:rsidRPr="0082442D">
              <w:rPr>
                <w:rFonts w:ascii="Arial" w:hAnsi="Arial" w:cs="Arial"/>
              </w:rPr>
              <w:t>Appointment of legal advisors to the Council in respect of a collaboration agreement and decision to commence procurement exercise to select consultants to secure a development partner and external legal advisors to advice all three partners.</w:t>
            </w:r>
          </w:p>
        </w:tc>
      </w:tr>
      <w:tr w:rsidR="006F6326" w:rsidTr="00052DAA">
        <w:tc>
          <w:tcPr>
            <w:tcW w:w="343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492" w:type="dxa"/>
          </w:tcPr>
          <w:p w:rsidR="00263039" w:rsidRPr="00A96C08" w:rsidRDefault="004D0E18" w:rsidP="008A22C6">
            <w:pPr>
              <w:rPr>
                <w:rFonts w:ascii="Arial" w:hAnsi="Arial" w:cs="Arial"/>
              </w:rPr>
            </w:pPr>
            <w:r>
              <w:rPr>
                <w:rFonts w:ascii="Arial" w:hAnsi="Arial" w:cs="Arial"/>
              </w:rPr>
              <w:t>02 August 2021</w:t>
            </w:r>
          </w:p>
        </w:tc>
      </w:tr>
      <w:tr w:rsidR="00854133" w:rsidTr="00052DAA">
        <w:tc>
          <w:tcPr>
            <w:tcW w:w="3432" w:type="dxa"/>
          </w:tcPr>
          <w:p w:rsidR="00854133" w:rsidRPr="00854133" w:rsidRDefault="00854133" w:rsidP="00052DAA">
            <w:pPr>
              <w:spacing w:before="120" w:after="120"/>
              <w:rPr>
                <w:rFonts w:ascii="Arial" w:hAnsi="Arial" w:cs="Arial"/>
              </w:rPr>
            </w:pPr>
            <w:r>
              <w:rPr>
                <w:rFonts w:ascii="Arial" w:hAnsi="Arial" w:cs="Arial"/>
                <w:b/>
              </w:rPr>
              <w:t xml:space="preserve">Source of delegation: </w:t>
            </w:r>
          </w:p>
        </w:tc>
        <w:tc>
          <w:tcPr>
            <w:tcW w:w="6492" w:type="dxa"/>
          </w:tcPr>
          <w:p w:rsidR="004A049B" w:rsidRPr="00E20A54" w:rsidRDefault="004D0E18" w:rsidP="0082442D">
            <w:pPr>
              <w:rPr>
                <w:rFonts w:ascii="Arial" w:hAnsi="Arial" w:cs="Arial"/>
              </w:rPr>
            </w:pPr>
            <w:r w:rsidRPr="004D0E18">
              <w:rPr>
                <w:rFonts w:ascii="Arial" w:hAnsi="Arial" w:cs="Arial"/>
              </w:rPr>
              <w:t>Constitution Part 4.4: All executive functions except the ones in Part 4.5, 4.6, and 4.7 are delegated to the officers in the senior management structure.</w:t>
            </w:r>
          </w:p>
        </w:tc>
      </w:tr>
      <w:tr w:rsidR="00B87695" w:rsidTr="00052DAA">
        <w:tc>
          <w:tcPr>
            <w:tcW w:w="3432" w:type="dxa"/>
          </w:tcPr>
          <w:p w:rsidR="003B1236" w:rsidRPr="00B87695" w:rsidRDefault="00854133" w:rsidP="00052DAA">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492" w:type="dxa"/>
          </w:tcPr>
          <w:p w:rsidR="0082442D" w:rsidRPr="0082442D" w:rsidRDefault="0082442D" w:rsidP="0082442D">
            <w:pPr>
              <w:rPr>
                <w:rFonts w:ascii="Arial" w:hAnsi="Arial" w:cs="Arial"/>
              </w:rPr>
            </w:pPr>
            <w:r w:rsidRPr="0082442D">
              <w:rPr>
                <w:rFonts w:ascii="Arial" w:hAnsi="Arial" w:cs="Arial"/>
              </w:rPr>
              <w:t>The decision is:</w:t>
            </w:r>
          </w:p>
          <w:p w:rsidR="0082442D" w:rsidRPr="0082442D" w:rsidRDefault="0082442D" w:rsidP="0082442D">
            <w:pPr>
              <w:rPr>
                <w:rFonts w:ascii="Arial" w:hAnsi="Arial" w:cs="Arial"/>
              </w:rPr>
            </w:pPr>
          </w:p>
          <w:p w:rsidR="0082442D" w:rsidRPr="0082442D" w:rsidRDefault="0082442D" w:rsidP="0082442D">
            <w:pPr>
              <w:rPr>
                <w:rFonts w:ascii="Arial" w:hAnsi="Arial" w:cs="Arial"/>
              </w:rPr>
            </w:pPr>
            <w:r w:rsidRPr="0082442D">
              <w:rPr>
                <w:rFonts w:ascii="Arial" w:hAnsi="Arial" w:cs="Arial"/>
              </w:rPr>
              <w:t>•</w:t>
            </w:r>
            <w:r w:rsidRPr="0082442D">
              <w:rPr>
                <w:rFonts w:ascii="Arial" w:hAnsi="Arial" w:cs="Arial"/>
              </w:rPr>
              <w:tab/>
              <w:t>to appoint Anthony Collins as legal advisors to Oxford City Council to advise upon and draft a collaboration agreement to govern the existing partnership arrangements between Oxford City Council, Magdalen College and Thames Water, further to the tender process of summer 2020, with revised fee in July 2021 of the sum of £15,230;</w:t>
            </w:r>
          </w:p>
          <w:p w:rsidR="0082442D" w:rsidRPr="0082442D" w:rsidRDefault="0082442D" w:rsidP="0082442D">
            <w:pPr>
              <w:rPr>
                <w:rFonts w:ascii="Arial" w:hAnsi="Arial" w:cs="Arial"/>
              </w:rPr>
            </w:pPr>
            <w:r w:rsidRPr="0082442D">
              <w:rPr>
                <w:rFonts w:ascii="Arial" w:hAnsi="Arial" w:cs="Arial"/>
              </w:rPr>
              <w:t>•</w:t>
            </w:r>
            <w:r w:rsidRPr="0082442D">
              <w:rPr>
                <w:rFonts w:ascii="Arial" w:hAnsi="Arial" w:cs="Arial"/>
              </w:rPr>
              <w:tab/>
              <w:t>to commence a procurement exercise to jointly procure a consultant to act for the above 3 parties in securing a development partner (such appointment to be subject</w:t>
            </w:r>
            <w:r>
              <w:rPr>
                <w:rFonts w:ascii="Arial" w:hAnsi="Arial" w:cs="Arial"/>
              </w:rPr>
              <w:t xml:space="preserve"> to Cabinet approval in October</w:t>
            </w:r>
            <w:r w:rsidRPr="0082442D">
              <w:rPr>
                <w:rFonts w:ascii="Arial" w:hAnsi="Arial" w:cs="Arial"/>
              </w:rPr>
              <w:t xml:space="preserve"> 2021, and funding agreement in place for reimbursement of a third of the cost from each of the other two partners);</w:t>
            </w:r>
          </w:p>
          <w:p w:rsidR="0082442D" w:rsidRPr="0082442D" w:rsidRDefault="0082442D" w:rsidP="0082442D">
            <w:pPr>
              <w:rPr>
                <w:rFonts w:ascii="Arial" w:hAnsi="Arial" w:cs="Arial"/>
              </w:rPr>
            </w:pPr>
            <w:r w:rsidRPr="0082442D">
              <w:rPr>
                <w:rFonts w:ascii="Arial" w:hAnsi="Arial" w:cs="Arial"/>
              </w:rPr>
              <w:t>•</w:t>
            </w:r>
            <w:r w:rsidRPr="0082442D">
              <w:rPr>
                <w:rFonts w:ascii="Arial" w:hAnsi="Arial" w:cs="Arial"/>
              </w:rPr>
              <w:tab/>
              <w:t xml:space="preserve">to commence a procurement exercise to jointly procure an external legal advisor to act for the above 3 partners in respect of </w:t>
            </w:r>
            <w:r>
              <w:rPr>
                <w:rFonts w:ascii="Arial" w:hAnsi="Arial" w:cs="Arial"/>
              </w:rPr>
              <w:t xml:space="preserve">procuring a development partner and </w:t>
            </w:r>
            <w:r w:rsidR="004D0E18">
              <w:rPr>
                <w:rFonts w:ascii="Arial" w:hAnsi="Arial" w:cs="Arial"/>
              </w:rPr>
              <w:t>their partnership work at South</w:t>
            </w:r>
            <w:r w:rsidRPr="0082442D">
              <w:rPr>
                <w:rFonts w:ascii="Arial" w:hAnsi="Arial" w:cs="Arial"/>
              </w:rPr>
              <w:t xml:space="preserve"> Oxford Science Village</w:t>
            </w:r>
            <w:r w:rsidR="004D0E18">
              <w:rPr>
                <w:rFonts w:ascii="Arial" w:hAnsi="Arial" w:cs="Arial"/>
              </w:rPr>
              <w:t xml:space="preserve"> (SOSV)</w:t>
            </w:r>
            <w:r w:rsidRPr="0082442D">
              <w:rPr>
                <w:rFonts w:ascii="Arial" w:hAnsi="Arial" w:cs="Arial"/>
              </w:rPr>
              <w:t xml:space="preserve">. Such legal advice will support the Council to work with partners to bring forward the site for the development identified in the emerging </w:t>
            </w:r>
            <w:r w:rsidR="004D0E18">
              <w:rPr>
                <w:rFonts w:ascii="Arial" w:hAnsi="Arial" w:cs="Arial"/>
              </w:rPr>
              <w:t>South Oxfordshire District Council (</w:t>
            </w:r>
            <w:r w:rsidRPr="0082442D">
              <w:rPr>
                <w:rFonts w:ascii="Arial" w:hAnsi="Arial" w:cs="Arial"/>
              </w:rPr>
              <w:t>SODC</w:t>
            </w:r>
            <w:r w:rsidR="004D0E18">
              <w:rPr>
                <w:rFonts w:ascii="Arial" w:hAnsi="Arial" w:cs="Arial"/>
              </w:rPr>
              <w:t>)</w:t>
            </w:r>
            <w:r w:rsidRPr="0082442D">
              <w:rPr>
                <w:rFonts w:ascii="Arial" w:hAnsi="Arial" w:cs="Arial"/>
              </w:rPr>
              <w:t xml:space="preserve"> local plan. (such</w:t>
            </w:r>
            <w:r>
              <w:t xml:space="preserve"> </w:t>
            </w:r>
            <w:r w:rsidRPr="0082442D">
              <w:rPr>
                <w:rFonts w:ascii="Arial" w:hAnsi="Arial" w:cs="Arial"/>
              </w:rPr>
              <w:t xml:space="preserve">appointment to be subject </w:t>
            </w:r>
            <w:r>
              <w:rPr>
                <w:rFonts w:ascii="Arial" w:hAnsi="Arial" w:cs="Arial"/>
              </w:rPr>
              <w:t>to Cabinet approval in October</w:t>
            </w:r>
            <w:r w:rsidRPr="0082442D">
              <w:rPr>
                <w:rFonts w:ascii="Arial" w:hAnsi="Arial" w:cs="Arial"/>
              </w:rPr>
              <w:t xml:space="preserve"> 2021, and funding agreement in place for the reimbursement of a third of the cost from each of the other two partners). </w:t>
            </w:r>
          </w:p>
          <w:p w:rsidR="0082442D" w:rsidRPr="0082442D" w:rsidRDefault="0082442D" w:rsidP="0082442D">
            <w:pPr>
              <w:rPr>
                <w:rFonts w:ascii="Arial" w:hAnsi="Arial" w:cs="Arial"/>
              </w:rPr>
            </w:pPr>
          </w:p>
          <w:p w:rsidR="0082442D" w:rsidRPr="0082442D" w:rsidRDefault="0082442D" w:rsidP="0082442D">
            <w:pPr>
              <w:rPr>
                <w:rFonts w:ascii="Arial" w:hAnsi="Arial" w:cs="Arial"/>
              </w:rPr>
            </w:pPr>
            <w:r w:rsidRPr="0082442D">
              <w:rPr>
                <w:rFonts w:ascii="Arial" w:hAnsi="Arial" w:cs="Arial"/>
              </w:rPr>
              <w:t>A budget has been allocated to progress SOSV and this will cover the cost of the appointment of Anthony Collins to advise the Council on the collaboration agreement.</w:t>
            </w:r>
          </w:p>
          <w:p w:rsidR="0082442D" w:rsidRPr="0082442D" w:rsidRDefault="0082442D" w:rsidP="0082442D">
            <w:pPr>
              <w:rPr>
                <w:rFonts w:ascii="Arial" w:hAnsi="Arial" w:cs="Arial"/>
              </w:rPr>
            </w:pPr>
          </w:p>
          <w:p w:rsidR="006247C4" w:rsidRPr="00A96C08" w:rsidRDefault="0082442D" w:rsidP="004D0E18">
            <w:pPr>
              <w:rPr>
                <w:rFonts w:ascii="Arial" w:hAnsi="Arial" w:cs="Arial"/>
              </w:rPr>
            </w:pPr>
            <w:r w:rsidRPr="0082442D">
              <w:rPr>
                <w:rFonts w:ascii="Arial" w:hAnsi="Arial" w:cs="Arial"/>
              </w:rPr>
              <w:t>The cost of the appointment of the consultants is expected to be up to £200,000 and the appointment of the external legal advisors to the 3 partners is expected to be up to £200,000. These appointments will be consid</w:t>
            </w:r>
            <w:r w:rsidR="004D0E18">
              <w:rPr>
                <w:rFonts w:ascii="Arial" w:hAnsi="Arial" w:cs="Arial"/>
              </w:rPr>
              <w:t>ered at the Cabinet meeting in October</w:t>
            </w:r>
            <w:r w:rsidRPr="0082442D">
              <w:rPr>
                <w:rFonts w:ascii="Arial" w:hAnsi="Arial" w:cs="Arial"/>
              </w:rPr>
              <w:t xml:space="preserve"> 2021. Subject to a funding agreement being entered into with the other 2 partners it is anticipated that two thirds of the costs of these </w:t>
            </w:r>
            <w:r w:rsidRPr="0082442D">
              <w:rPr>
                <w:rFonts w:ascii="Arial" w:hAnsi="Arial" w:cs="Arial"/>
              </w:rPr>
              <w:lastRenderedPageBreak/>
              <w:t>appointments will be recovered with the Council’s exposure being £66,000 for each of the two contracts.</w:t>
            </w:r>
          </w:p>
        </w:tc>
      </w:tr>
      <w:tr w:rsidR="00373F5D" w:rsidTr="00052DAA">
        <w:tc>
          <w:tcPr>
            <w:tcW w:w="3432" w:type="dxa"/>
          </w:tcPr>
          <w:p w:rsidR="00373F5D" w:rsidRPr="00373F5D" w:rsidRDefault="00373F5D" w:rsidP="00052DAA">
            <w:pPr>
              <w:spacing w:before="120" w:after="120"/>
              <w:rPr>
                <w:rFonts w:ascii="Arial" w:hAnsi="Arial" w:cs="Arial"/>
              </w:rPr>
            </w:pPr>
            <w:r>
              <w:rPr>
                <w:rFonts w:ascii="Arial" w:hAnsi="Arial" w:cs="Arial"/>
                <w:b/>
              </w:rPr>
              <w:lastRenderedPageBreak/>
              <w:t xml:space="preserve">Purpose: </w:t>
            </w:r>
          </w:p>
        </w:tc>
        <w:tc>
          <w:tcPr>
            <w:tcW w:w="6492" w:type="dxa"/>
          </w:tcPr>
          <w:p w:rsidR="00373F5D" w:rsidRPr="00A96C08" w:rsidRDefault="0082442D" w:rsidP="00CB5E4F">
            <w:pPr>
              <w:rPr>
                <w:rFonts w:ascii="Arial" w:hAnsi="Arial" w:cs="Arial"/>
              </w:rPr>
            </w:pPr>
            <w:r>
              <w:rPr>
                <w:rFonts w:ascii="Arial" w:hAnsi="Arial" w:cs="Arial"/>
              </w:rPr>
              <w:t xml:space="preserve">The appointment of legal advisors will ensure the Council’s legal interests are properly addressed in the drafting of the collaboration agreement. The procurement of commercial and legal advisors for the partnership will enable work to be progressed towards the procurement and selection of a development partner to support the delivery of development on the site. </w:t>
            </w:r>
          </w:p>
        </w:tc>
      </w:tr>
      <w:tr w:rsidR="00DC2E8D" w:rsidTr="00052DAA">
        <w:tc>
          <w:tcPr>
            <w:tcW w:w="3432" w:type="dxa"/>
          </w:tcPr>
          <w:p w:rsidR="00DC2E8D" w:rsidRPr="008E4629" w:rsidRDefault="008E4629" w:rsidP="00052DAA">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492" w:type="dxa"/>
          </w:tcPr>
          <w:p w:rsidR="00CB5E4F" w:rsidRPr="00A96C08" w:rsidRDefault="0082442D" w:rsidP="008A22C6">
            <w:pPr>
              <w:rPr>
                <w:rFonts w:ascii="Arial" w:hAnsi="Arial" w:cs="Arial"/>
              </w:rPr>
            </w:pPr>
            <w:r>
              <w:rPr>
                <w:rFonts w:ascii="Arial" w:hAnsi="Arial" w:cs="Arial"/>
              </w:rPr>
              <w:t>The decisions were taken to enable work to progress towards the bringing forward of the SOSV site for development. To de</w:t>
            </w:r>
            <w:r w:rsidR="001E4934">
              <w:rPr>
                <w:rFonts w:ascii="Arial" w:hAnsi="Arial" w:cs="Arial"/>
              </w:rPr>
              <w:t xml:space="preserve">lay would prolong the programme and delay development taking place on the site, which has been allocated for development to meet Oxford’s housing needs. </w:t>
            </w:r>
          </w:p>
        </w:tc>
      </w:tr>
      <w:tr w:rsidR="00B87695" w:rsidTr="00052DAA">
        <w:tc>
          <w:tcPr>
            <w:tcW w:w="3432" w:type="dxa"/>
          </w:tcPr>
          <w:p w:rsidR="00B87695" w:rsidRPr="00B87695" w:rsidRDefault="00B87695" w:rsidP="00052DAA">
            <w:pPr>
              <w:spacing w:before="120" w:after="120"/>
              <w:rPr>
                <w:rFonts w:ascii="Arial" w:hAnsi="Arial" w:cs="Arial"/>
              </w:rPr>
            </w:pPr>
            <w:r w:rsidRPr="00B87695">
              <w:rPr>
                <w:rFonts w:ascii="Arial" w:hAnsi="Arial" w:cs="Arial"/>
                <w:b/>
              </w:rPr>
              <w:t xml:space="preserve">Decision made by: </w:t>
            </w:r>
          </w:p>
        </w:tc>
        <w:tc>
          <w:tcPr>
            <w:tcW w:w="6492" w:type="dxa"/>
          </w:tcPr>
          <w:p w:rsidR="00B87695" w:rsidRDefault="0082442D" w:rsidP="008A22C6">
            <w:pPr>
              <w:rPr>
                <w:rFonts w:ascii="Arial" w:hAnsi="Arial" w:cs="Arial"/>
              </w:rPr>
            </w:pPr>
            <w:r>
              <w:rPr>
                <w:rFonts w:ascii="Arial" w:hAnsi="Arial" w:cs="Arial"/>
              </w:rPr>
              <w:t xml:space="preserve">Tom Bridgman </w:t>
            </w:r>
          </w:p>
          <w:p w:rsidR="0082442D" w:rsidRPr="00A96C08" w:rsidRDefault="0082442D" w:rsidP="008A22C6">
            <w:pPr>
              <w:rPr>
                <w:rFonts w:ascii="Arial" w:hAnsi="Arial" w:cs="Arial"/>
              </w:rPr>
            </w:pPr>
            <w:r>
              <w:rPr>
                <w:rFonts w:ascii="Arial" w:hAnsi="Arial" w:cs="Arial"/>
              </w:rPr>
              <w:t>Director of Development</w:t>
            </w:r>
          </w:p>
        </w:tc>
      </w:tr>
      <w:tr w:rsidR="006F6326" w:rsidTr="00052DAA">
        <w:tc>
          <w:tcPr>
            <w:tcW w:w="3432" w:type="dxa"/>
          </w:tcPr>
          <w:p w:rsidR="006F6326" w:rsidRDefault="006F6326" w:rsidP="00052DAA">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492" w:type="dxa"/>
          </w:tcPr>
          <w:p w:rsidR="00263039" w:rsidRPr="00A96C08" w:rsidRDefault="0082442D" w:rsidP="00DD1A34">
            <w:pPr>
              <w:rPr>
                <w:rFonts w:ascii="Arial" w:hAnsi="Arial" w:cs="Arial"/>
              </w:rPr>
            </w:pPr>
            <w:r w:rsidRPr="0082442D">
              <w:rPr>
                <w:rFonts w:ascii="Arial" w:hAnsi="Arial" w:cs="Arial"/>
              </w:rPr>
              <w:t>There are alternative option was not to appoint specialist advice. This was rejected as it could result in the Council failing to optimise its asset.</w:t>
            </w:r>
          </w:p>
        </w:tc>
      </w:tr>
      <w:tr w:rsidR="006F6326" w:rsidTr="00052DAA">
        <w:trPr>
          <w:trHeight w:val="1018"/>
        </w:trPr>
        <w:tc>
          <w:tcPr>
            <w:tcW w:w="3432" w:type="dxa"/>
          </w:tcPr>
          <w:p w:rsidR="00C678ED" w:rsidRPr="00C678ED" w:rsidRDefault="006F6326" w:rsidP="00052DAA">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492" w:type="dxa"/>
          </w:tcPr>
          <w:p w:rsidR="006F6326" w:rsidRPr="00A96C08" w:rsidRDefault="00741DA4" w:rsidP="008A22C6">
            <w:pPr>
              <w:rPr>
                <w:rFonts w:ascii="Arial" w:hAnsi="Arial" w:cs="Arial"/>
              </w:rPr>
            </w:pPr>
            <w:r>
              <w:rPr>
                <w:rFonts w:ascii="Arial" w:hAnsi="Arial" w:cs="Arial"/>
              </w:rPr>
              <w:t xml:space="preserve">Exempt - </w:t>
            </w:r>
            <w:r w:rsidR="001E4934" w:rsidRPr="001E4934">
              <w:rPr>
                <w:rFonts w:ascii="Arial" w:hAnsi="Arial" w:cs="Arial"/>
              </w:rPr>
              <w:t>Brief for legal advice</w:t>
            </w:r>
          </w:p>
        </w:tc>
      </w:tr>
      <w:tr w:rsidR="006F6326" w:rsidTr="00052DAA">
        <w:tc>
          <w:tcPr>
            <w:tcW w:w="3432" w:type="dxa"/>
          </w:tcPr>
          <w:p w:rsidR="003505E0" w:rsidRDefault="003505E0" w:rsidP="00052DAA">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492" w:type="dxa"/>
          </w:tcPr>
          <w:p w:rsidR="006F6326" w:rsidRPr="00A96C08" w:rsidRDefault="001E4934" w:rsidP="008A22C6">
            <w:pPr>
              <w:rPr>
                <w:rFonts w:ascii="Arial" w:hAnsi="Arial" w:cs="Arial"/>
              </w:rPr>
            </w:pPr>
            <w:r>
              <w:rPr>
                <w:rFonts w:ascii="Arial" w:hAnsi="Arial" w:cs="Arial"/>
              </w:rPr>
              <w:t xml:space="preserve">Not Key </w:t>
            </w:r>
          </w:p>
        </w:tc>
      </w:tr>
      <w:tr w:rsidR="006F6326" w:rsidTr="00052DAA">
        <w:tc>
          <w:tcPr>
            <w:tcW w:w="3432" w:type="dxa"/>
          </w:tcPr>
          <w:p w:rsidR="006F6326" w:rsidRPr="008E4629" w:rsidRDefault="006F6326" w:rsidP="00052DAA">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492" w:type="dxa"/>
          </w:tcPr>
          <w:p w:rsidR="001E4934" w:rsidRPr="001E4934" w:rsidRDefault="001E4934" w:rsidP="001E4934">
            <w:pPr>
              <w:rPr>
                <w:rFonts w:ascii="Arial" w:hAnsi="Arial" w:cs="Arial"/>
              </w:rPr>
            </w:pPr>
            <w:r w:rsidRPr="001E4934">
              <w:rPr>
                <w:rFonts w:ascii="Arial" w:hAnsi="Arial" w:cs="Arial"/>
              </w:rPr>
              <w:t xml:space="preserve">Littlemore </w:t>
            </w:r>
          </w:p>
          <w:p w:rsidR="006F6326" w:rsidRPr="00A96C08" w:rsidRDefault="009E19CE" w:rsidP="001E4934">
            <w:pPr>
              <w:rPr>
                <w:rFonts w:ascii="Arial" w:hAnsi="Arial" w:cs="Arial"/>
              </w:rPr>
            </w:pPr>
            <w:r>
              <w:rPr>
                <w:rFonts w:ascii="Arial" w:hAnsi="Arial" w:cs="Arial"/>
              </w:rPr>
              <w:t>(</w:t>
            </w:r>
            <w:r w:rsidR="001E4934" w:rsidRPr="001E4934">
              <w:rPr>
                <w:rFonts w:ascii="Arial" w:hAnsi="Arial" w:cs="Arial"/>
              </w:rPr>
              <w:t>majority of land is within South Oxfordshire</w:t>
            </w:r>
            <w:r>
              <w:rPr>
                <w:rFonts w:ascii="Arial" w:hAnsi="Arial" w:cs="Arial"/>
              </w:rPr>
              <w:t>)</w:t>
            </w:r>
          </w:p>
        </w:tc>
      </w:tr>
      <w:tr w:rsidR="006F6326" w:rsidTr="00052DAA">
        <w:tc>
          <w:tcPr>
            <w:tcW w:w="3432" w:type="dxa"/>
          </w:tcPr>
          <w:p w:rsidR="006F6326" w:rsidRPr="006F6326" w:rsidRDefault="006F6326" w:rsidP="00052DA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492" w:type="dxa"/>
          </w:tcPr>
          <w:p w:rsidR="006F6326" w:rsidRPr="00A96C08" w:rsidRDefault="001E4934" w:rsidP="008A22C6">
            <w:pPr>
              <w:rPr>
                <w:rFonts w:ascii="Arial" w:hAnsi="Arial" w:cs="Arial"/>
              </w:rPr>
            </w:pPr>
            <w:r>
              <w:rPr>
                <w:rFonts w:ascii="Arial" w:hAnsi="Arial" w:cs="Arial"/>
              </w:rPr>
              <w:t xml:space="preserve">None </w:t>
            </w:r>
          </w:p>
        </w:tc>
      </w:tr>
      <w:tr w:rsidR="00B87695" w:rsidTr="00052DAA">
        <w:tc>
          <w:tcPr>
            <w:tcW w:w="343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492" w:type="dxa"/>
          </w:tcPr>
          <w:p w:rsidR="004A049B" w:rsidRDefault="001E4934" w:rsidP="008A22C6">
            <w:pPr>
              <w:rPr>
                <w:rFonts w:ascii="Arial" w:hAnsi="Arial" w:cs="Arial"/>
              </w:rPr>
            </w:pPr>
            <w:r>
              <w:rPr>
                <w:rFonts w:ascii="Arial" w:hAnsi="Arial" w:cs="Arial"/>
              </w:rPr>
              <w:t xml:space="preserve">Susan Sale – Head of Law &amp; Governance </w:t>
            </w:r>
          </w:p>
          <w:p w:rsidR="001E4934" w:rsidRDefault="001E4934" w:rsidP="008A22C6">
            <w:pPr>
              <w:rPr>
                <w:rFonts w:ascii="Arial" w:hAnsi="Arial" w:cs="Arial"/>
              </w:rPr>
            </w:pPr>
            <w:r>
              <w:rPr>
                <w:rFonts w:ascii="Arial" w:hAnsi="Arial" w:cs="Arial"/>
              </w:rPr>
              <w:t xml:space="preserve">Jenny Barker – Regeneration Manager </w:t>
            </w:r>
          </w:p>
          <w:p w:rsidR="001E4934" w:rsidRPr="00A96C08" w:rsidRDefault="001E4934" w:rsidP="008A22C6">
            <w:pPr>
              <w:rPr>
                <w:rFonts w:ascii="Arial" w:hAnsi="Arial" w:cs="Arial"/>
              </w:rPr>
            </w:pPr>
            <w:r>
              <w:rPr>
                <w:rFonts w:ascii="Arial" w:hAnsi="Arial" w:cs="Arial"/>
              </w:rPr>
              <w:t xml:space="preserve">1/7/21 </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bookmarkStart w:id="0" w:name="_GoBack"/>
      <w:bookmarkEnd w:id="0"/>
    </w:p>
    <w:p w:rsidR="00DD4885" w:rsidRDefault="00DD4885" w:rsidP="002611EB">
      <w:pPr>
        <w:rPr>
          <w:rFonts w:ascii="Arial" w:hAnsi="Arial" w:cs="Arial"/>
          <w:b/>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rsidR="00DD4885" w:rsidRDefault="004D7C4A" w:rsidP="00DD4885">
            <w:pPr>
              <w:rPr>
                <w:rFonts w:ascii="Arial" w:hAnsi="Arial" w:cs="Arial"/>
              </w:rPr>
            </w:pPr>
            <w:r w:rsidRPr="004D7C4A">
              <w:rPr>
                <w:rFonts w:ascii="Arial" w:hAnsi="Arial" w:cs="Arial"/>
                <w:noProof/>
              </w:rPr>
              <w:drawing>
                <wp:inline distT="0" distB="0" distL="0" distR="0" wp14:anchorId="05B6CC9F" wp14:editId="07C933FA">
                  <wp:extent cx="1857634" cy="924054"/>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7634" cy="924054"/>
                          </a:xfrm>
                          <a:prstGeom prst="rect">
                            <a:avLst/>
                          </a:prstGeom>
                        </pic:spPr>
                      </pic:pic>
                    </a:graphicData>
                  </a:graphic>
                </wp:inline>
              </w:drawing>
            </w:r>
          </w:p>
          <w:p w:rsidR="009E19CE" w:rsidRPr="00A96C08" w:rsidRDefault="009E19CE" w:rsidP="00DD4885">
            <w:pPr>
              <w:rPr>
                <w:rFonts w:ascii="Arial" w:hAnsi="Arial" w:cs="Arial"/>
              </w:rPr>
            </w:pPr>
            <w:r>
              <w:rPr>
                <w:rFonts w:ascii="Arial" w:hAnsi="Arial" w:cs="Arial"/>
              </w:rPr>
              <w:t>Tom Bridgman, Director of Development</w:t>
            </w:r>
          </w:p>
        </w:tc>
        <w:tc>
          <w:tcPr>
            <w:tcW w:w="1984" w:type="dxa"/>
            <w:vAlign w:val="center"/>
          </w:tcPr>
          <w:p w:rsidR="00DD4885" w:rsidRPr="00A96C08" w:rsidRDefault="004D7C4A" w:rsidP="00DD4885">
            <w:pPr>
              <w:rPr>
                <w:rFonts w:ascii="Arial" w:hAnsi="Arial" w:cs="Arial"/>
              </w:rPr>
            </w:pPr>
            <w:r>
              <w:rPr>
                <w:rFonts w:ascii="Arial" w:hAnsi="Arial" w:cs="Arial"/>
              </w:rPr>
              <w:t>02.08.21</w:t>
            </w: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lastRenderedPageBreak/>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DD4885" w:rsidRDefault="00E91188" w:rsidP="00DD4885">
            <w:pPr>
              <w:rPr>
                <w:rFonts w:ascii="Arial" w:hAnsi="Arial" w:cs="Arial"/>
              </w:rPr>
            </w:pPr>
            <w:r w:rsidRPr="00E91188">
              <w:rPr>
                <w:rFonts w:ascii="Arial" w:hAnsi="Arial" w:cs="Arial"/>
                <w:noProof/>
              </w:rPr>
              <w:drawing>
                <wp:inline distT="0" distB="0" distL="0" distR="0" wp14:anchorId="7AB4CEFD" wp14:editId="10B785B7">
                  <wp:extent cx="1120237" cy="815411"/>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0237" cy="815411"/>
                          </a:xfrm>
                          <a:prstGeom prst="rect">
                            <a:avLst/>
                          </a:prstGeom>
                        </pic:spPr>
                      </pic:pic>
                    </a:graphicData>
                  </a:graphic>
                </wp:inline>
              </w:drawing>
            </w:r>
          </w:p>
          <w:p w:rsidR="00E91188" w:rsidRDefault="00E91188" w:rsidP="00DD4885">
            <w:pPr>
              <w:rPr>
                <w:rFonts w:ascii="Arial" w:hAnsi="Arial" w:cs="Arial"/>
              </w:rPr>
            </w:pPr>
            <w:r>
              <w:rPr>
                <w:rFonts w:ascii="Arial" w:hAnsi="Arial" w:cs="Arial"/>
              </w:rPr>
              <w:t>Nigel Kennedy</w:t>
            </w:r>
          </w:p>
          <w:p w:rsidR="00E91188" w:rsidRPr="00A96C08" w:rsidRDefault="00E91188" w:rsidP="00DD4885">
            <w:pPr>
              <w:rPr>
                <w:rFonts w:ascii="Arial" w:hAnsi="Arial" w:cs="Arial"/>
              </w:rPr>
            </w:pPr>
            <w:r>
              <w:rPr>
                <w:rFonts w:ascii="Arial" w:hAnsi="Arial" w:cs="Arial"/>
              </w:rPr>
              <w:t>Head of Financial Services</w:t>
            </w:r>
          </w:p>
        </w:tc>
        <w:tc>
          <w:tcPr>
            <w:tcW w:w="1984" w:type="dxa"/>
            <w:vAlign w:val="center"/>
          </w:tcPr>
          <w:p w:rsidR="00DD4885" w:rsidRPr="00A96C08" w:rsidRDefault="00E91188" w:rsidP="00DD4885">
            <w:pPr>
              <w:rPr>
                <w:rFonts w:ascii="Arial" w:hAnsi="Arial" w:cs="Arial"/>
              </w:rPr>
            </w:pPr>
            <w:r>
              <w:rPr>
                <w:rFonts w:ascii="Arial" w:hAnsi="Arial" w:cs="Arial"/>
              </w:rPr>
              <w:t>02.08.21</w:t>
            </w: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F074A7" w:rsidRDefault="00F074A7" w:rsidP="00DD4885">
            <w:pPr>
              <w:rPr>
                <w:rFonts w:ascii="Arial" w:hAnsi="Arial" w:cs="Arial"/>
              </w:rPr>
            </w:pPr>
            <w:r w:rsidRPr="00C64101">
              <w:rPr>
                <w:noProof/>
              </w:rPr>
              <w:drawing>
                <wp:inline distT="0" distB="0" distL="0" distR="0" wp14:anchorId="1512FC6C" wp14:editId="146A7A07">
                  <wp:extent cx="1889924" cy="784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p>
          <w:p w:rsidR="00F074A7" w:rsidRDefault="00F074A7" w:rsidP="00DD4885">
            <w:pPr>
              <w:rPr>
                <w:rFonts w:ascii="Arial" w:hAnsi="Arial" w:cs="Arial"/>
              </w:rPr>
            </w:pPr>
            <w:r>
              <w:rPr>
                <w:rFonts w:ascii="Arial" w:hAnsi="Arial" w:cs="Arial"/>
              </w:rPr>
              <w:t>Susan Sale</w:t>
            </w:r>
          </w:p>
          <w:p w:rsidR="00F074A7" w:rsidRPr="00A96C08" w:rsidRDefault="00F074A7" w:rsidP="00DD4885">
            <w:pPr>
              <w:rPr>
                <w:rFonts w:ascii="Arial" w:hAnsi="Arial" w:cs="Arial"/>
              </w:rPr>
            </w:pPr>
            <w:r>
              <w:rPr>
                <w:rFonts w:ascii="Arial" w:hAnsi="Arial" w:cs="Arial"/>
              </w:rPr>
              <w:t>Head of Law &amp; Governance</w:t>
            </w:r>
          </w:p>
        </w:tc>
        <w:tc>
          <w:tcPr>
            <w:tcW w:w="1984" w:type="dxa"/>
            <w:vAlign w:val="center"/>
          </w:tcPr>
          <w:p w:rsidR="00DD4885" w:rsidRPr="00A96C08" w:rsidRDefault="00F074A7" w:rsidP="009E19CE">
            <w:pPr>
              <w:rPr>
                <w:rFonts w:ascii="Arial" w:hAnsi="Arial" w:cs="Arial"/>
              </w:rPr>
            </w:pPr>
            <w:r>
              <w:rPr>
                <w:rFonts w:ascii="Arial" w:hAnsi="Arial" w:cs="Arial"/>
              </w:rPr>
              <w:t>26</w:t>
            </w:r>
            <w:r w:rsidR="009E19CE">
              <w:rPr>
                <w:rFonts w:ascii="Arial" w:hAnsi="Arial" w:cs="Arial"/>
              </w:rPr>
              <w:t>.07.</w:t>
            </w:r>
            <w:r>
              <w:rPr>
                <w:rFonts w:ascii="Arial" w:hAnsi="Arial" w:cs="Arial"/>
              </w:rPr>
              <w:t>2021</w:t>
            </w: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rsidR="00DD4885" w:rsidRPr="00A96C08" w:rsidRDefault="00B54EE3" w:rsidP="00DD4885">
            <w:pPr>
              <w:rPr>
                <w:rFonts w:ascii="Arial" w:hAnsi="Arial" w:cs="Arial"/>
              </w:rPr>
            </w:pPr>
            <w:r>
              <w:rPr>
                <w:rFonts w:ascii="Arial" w:hAnsi="Arial" w:cs="Arial"/>
              </w:rPr>
              <w:t>Cllr Hollingsworth</w:t>
            </w:r>
            <w:r w:rsidR="009E19CE">
              <w:rPr>
                <w:rFonts w:ascii="Arial" w:hAnsi="Arial" w:cs="Arial"/>
              </w:rPr>
              <w:t>, Cabinet Member for Planning and Housing Delivery</w:t>
            </w:r>
            <w:r>
              <w:rPr>
                <w:rFonts w:ascii="Arial" w:hAnsi="Arial" w:cs="Arial"/>
              </w:rPr>
              <w:t xml:space="preserve"> </w:t>
            </w:r>
          </w:p>
        </w:tc>
        <w:tc>
          <w:tcPr>
            <w:tcW w:w="1984" w:type="dxa"/>
            <w:vAlign w:val="center"/>
          </w:tcPr>
          <w:p w:rsidR="00DD4885" w:rsidRPr="00A96C08" w:rsidRDefault="009E19CE" w:rsidP="00DD4885">
            <w:pPr>
              <w:rPr>
                <w:rFonts w:ascii="Arial" w:hAnsi="Arial" w:cs="Arial"/>
              </w:rPr>
            </w:pPr>
            <w:r>
              <w:rPr>
                <w:rFonts w:ascii="Arial" w:hAnsi="Arial" w:cs="Arial"/>
              </w:rPr>
              <w:t>02.08.</w:t>
            </w:r>
            <w:r w:rsidR="00B54EE3">
              <w:rPr>
                <w:rFonts w:ascii="Arial" w:hAnsi="Arial" w:cs="Arial"/>
              </w:rPr>
              <w:t>21</w:t>
            </w:r>
          </w:p>
        </w:tc>
      </w:tr>
    </w:tbl>
    <w:p w:rsidR="008E4629" w:rsidRDefault="008E4629" w:rsidP="002611EB">
      <w:pPr>
        <w:rPr>
          <w:rFonts w:ascii="Arial" w:hAnsi="Arial" w:cs="Arial"/>
        </w:rPr>
      </w:pPr>
    </w:p>
    <w:sectPr w:rsidR="008E4629"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D9" w:rsidRDefault="005F24D9" w:rsidP="00F11FD1">
      <w:r>
        <w:separator/>
      </w:r>
    </w:p>
  </w:endnote>
  <w:endnote w:type="continuationSeparator" w:id="0">
    <w:p w:rsidR="005F24D9" w:rsidRDefault="005F24D9"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D9" w:rsidRDefault="005F24D9" w:rsidP="00F11FD1">
      <w:r>
        <w:separator/>
      </w:r>
    </w:p>
  </w:footnote>
  <w:footnote w:type="continuationSeparator" w:id="0">
    <w:p w:rsidR="005F24D9" w:rsidRDefault="005F24D9"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2DAA"/>
    <w:rsid w:val="0005774E"/>
    <w:rsid w:val="0008133A"/>
    <w:rsid w:val="000B4310"/>
    <w:rsid w:val="000F4239"/>
    <w:rsid w:val="001E4934"/>
    <w:rsid w:val="00231385"/>
    <w:rsid w:val="002611EB"/>
    <w:rsid w:val="00263039"/>
    <w:rsid w:val="002A07C9"/>
    <w:rsid w:val="002B53D4"/>
    <w:rsid w:val="002E61DD"/>
    <w:rsid w:val="00300C28"/>
    <w:rsid w:val="00335A9B"/>
    <w:rsid w:val="003505E0"/>
    <w:rsid w:val="003547CD"/>
    <w:rsid w:val="00373F5D"/>
    <w:rsid w:val="003B1236"/>
    <w:rsid w:val="003E5D0E"/>
    <w:rsid w:val="004000D7"/>
    <w:rsid w:val="00405321"/>
    <w:rsid w:val="00424A92"/>
    <w:rsid w:val="004A049B"/>
    <w:rsid w:val="004B1944"/>
    <w:rsid w:val="004D0E18"/>
    <w:rsid w:val="004D7C4A"/>
    <w:rsid w:val="00504E43"/>
    <w:rsid w:val="00532DF2"/>
    <w:rsid w:val="005C6416"/>
    <w:rsid w:val="005E37E4"/>
    <w:rsid w:val="005F24D9"/>
    <w:rsid w:val="00616F3F"/>
    <w:rsid w:val="006247C4"/>
    <w:rsid w:val="006F6326"/>
    <w:rsid w:val="006F6731"/>
    <w:rsid w:val="00741DA4"/>
    <w:rsid w:val="007908F4"/>
    <w:rsid w:val="007D270E"/>
    <w:rsid w:val="00801BEB"/>
    <w:rsid w:val="00804BF2"/>
    <w:rsid w:val="0082442D"/>
    <w:rsid w:val="00834D72"/>
    <w:rsid w:val="00844D21"/>
    <w:rsid w:val="00854133"/>
    <w:rsid w:val="008613FB"/>
    <w:rsid w:val="008676E5"/>
    <w:rsid w:val="008900A7"/>
    <w:rsid w:val="00891B19"/>
    <w:rsid w:val="008A22C6"/>
    <w:rsid w:val="008D607A"/>
    <w:rsid w:val="008E4629"/>
    <w:rsid w:val="00986C99"/>
    <w:rsid w:val="009E19CE"/>
    <w:rsid w:val="009F048F"/>
    <w:rsid w:val="009F6401"/>
    <w:rsid w:val="00A12928"/>
    <w:rsid w:val="00A96C08"/>
    <w:rsid w:val="00AC5899"/>
    <w:rsid w:val="00B15340"/>
    <w:rsid w:val="00B54EE3"/>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6474C"/>
    <w:rsid w:val="00E91188"/>
    <w:rsid w:val="00E97F84"/>
    <w:rsid w:val="00F074A7"/>
    <w:rsid w:val="00F11FD1"/>
    <w:rsid w:val="00F54FAD"/>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AF5D-E31C-440E-A256-58B4853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285EB05B</Template>
  <TotalTime>10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BROWN Andrew J</cp:lastModifiedBy>
  <cp:revision>4</cp:revision>
  <cp:lastPrinted>2015-07-27T09:35:00Z</cp:lastPrinted>
  <dcterms:created xsi:type="dcterms:W3CDTF">2021-08-13T10:03:00Z</dcterms:created>
  <dcterms:modified xsi:type="dcterms:W3CDTF">2021-08-13T10:17:00Z</dcterms:modified>
</cp:coreProperties>
</file>